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29" w:rsidRDefault="00833451" w:rsidP="00984D33">
      <w:pPr>
        <w:spacing w:after="240" w:line="360" w:lineRule="auto"/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833451">
        <w:rPr>
          <w:rFonts w:asciiTheme="majorBidi" w:hAnsiTheme="majorBidi" w:cstheme="majorBidi"/>
          <w:b/>
          <w:bCs/>
          <w:color w:val="000000"/>
          <w:sz w:val="36"/>
          <w:szCs w:val="36"/>
        </w:rPr>
        <w:t>L</w:t>
      </w:r>
      <w:r w:rsidR="00984D33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ISTE DES FIGURES </w:t>
      </w:r>
      <w:bookmarkStart w:id="0" w:name="_GoBack"/>
      <w:bookmarkEnd w:id="0"/>
    </w:p>
    <w:p w:rsidR="00E14305" w:rsidRPr="00EB5211" w:rsidRDefault="00E14305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r w:rsidRPr="00EB5211">
        <w:rPr>
          <w:rFonts w:asciiTheme="majorBidi" w:hAnsiTheme="majorBidi" w:cstheme="majorBidi"/>
          <w:sz w:val="24"/>
          <w:szCs w:val="24"/>
        </w:rPr>
        <w:fldChar w:fldCharType="begin"/>
      </w:r>
      <w:r w:rsidRPr="00EB5211">
        <w:rPr>
          <w:rFonts w:asciiTheme="majorBidi" w:hAnsiTheme="majorBidi" w:cstheme="majorBidi"/>
          <w:sz w:val="24"/>
          <w:szCs w:val="24"/>
        </w:rPr>
        <w:instrText xml:space="preserve"> TOC \h \z \c "Figure 1." </w:instrText>
      </w:r>
      <w:r w:rsidRPr="00EB5211">
        <w:rPr>
          <w:rFonts w:asciiTheme="majorBidi" w:hAnsiTheme="majorBidi" w:cstheme="majorBidi"/>
          <w:sz w:val="24"/>
          <w:szCs w:val="24"/>
        </w:rPr>
        <w:fldChar w:fldCharType="separate"/>
      </w:r>
      <w:hyperlink w:anchor="_Toc451951808" w:history="1">
        <w:r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1 : Réseau maillé sans fil WMN.</w:t>
        </w:r>
        <w:r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5</w:t>
        </w:r>
      </w:hyperlink>
    </w:p>
    <w:p w:rsidR="00E14305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1951809" w:history="1"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2 : Maillage total .</w:t>
        </w:r>
        <w:r w:rsidR="00E14305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E14305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1951810" w:history="1"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3 :</w:t>
        </w:r>
        <w:r w:rsidR="00E14305" w:rsidRPr="00EB5211">
          <w:rPr>
            <w:rStyle w:val="Lienhypertexte"/>
            <w:rFonts w:asciiTheme="majorBidi" w:hAnsiTheme="majorBidi" w:cstheme="majorBidi"/>
            <w:i/>
            <w:iCs/>
            <w:noProof/>
            <w:color w:val="auto"/>
            <w:sz w:val="24"/>
            <w:szCs w:val="24"/>
            <w:u w:val="none"/>
          </w:rPr>
          <w:t xml:space="preserve"> </w:t>
        </w:r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Maillage partiel .</w:t>
        </w:r>
        <w:r w:rsidR="00E14305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E14305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1951811" w:history="1"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4 : Maillage utilisateurs .</w:t>
        </w:r>
        <w:r w:rsidR="00E14305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E14305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1951812" w:history="1"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5 :</w:t>
        </w:r>
        <w:r w:rsidR="00E14305" w:rsidRPr="00EB5211">
          <w:rPr>
            <w:rStyle w:val="Lienhypertexte"/>
            <w:rFonts w:asciiTheme="majorBidi" w:hAnsiTheme="majorBidi" w:cstheme="majorBidi"/>
            <w:i/>
            <w:iCs/>
            <w:noProof/>
            <w:color w:val="auto"/>
            <w:sz w:val="24"/>
            <w:szCs w:val="24"/>
            <w:u w:val="none"/>
          </w:rPr>
          <w:t xml:space="preserve"> </w:t>
        </w:r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Maillage routeurs.</w:t>
        </w:r>
        <w:r w:rsidR="00E14305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E14305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</w:rPr>
      </w:pPr>
      <w:hyperlink w:anchor="_Toc451951813" w:history="1"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1. 6 :</w:t>
        </w:r>
        <w:r w:rsidR="00E14305" w:rsidRPr="00EB5211">
          <w:rPr>
            <w:rStyle w:val="Lienhypertexte"/>
            <w:rFonts w:asciiTheme="majorBidi" w:hAnsiTheme="majorBidi" w:cstheme="majorBidi"/>
            <w:i/>
            <w:iCs/>
            <w:noProof/>
            <w:color w:val="auto"/>
            <w:sz w:val="24"/>
            <w:szCs w:val="24"/>
            <w:u w:val="none"/>
          </w:rPr>
          <w:t xml:space="preserve"> </w:t>
        </w:r>
        <w:r w:rsidR="00E14305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Maillage hybrides .</w:t>
        </w:r>
        <w:r w:rsidR="00E14305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200F92" w:rsidRPr="00EB5211" w:rsidRDefault="00E14305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r w:rsidRPr="00EB5211">
        <w:rPr>
          <w:rFonts w:asciiTheme="majorBidi" w:hAnsiTheme="majorBidi" w:cstheme="majorBidi"/>
          <w:sz w:val="24"/>
          <w:szCs w:val="24"/>
        </w:rPr>
        <w:fldChar w:fldCharType="end"/>
      </w:r>
      <w:hyperlink w:anchor="_Toc451957539" w:history="1"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2. 1 :</w:t>
        </w:r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 </w:t>
        </w:r>
        <w:r w:rsidR="00200F92" w:rsidRPr="00EB5211">
          <w:rPr>
            <w:rStyle w:val="Lienhypertexte"/>
            <w:rFonts w:asciiTheme="majorBidi" w:eastAsia="Times New Roman" w:hAnsiTheme="majorBidi" w:cstheme="majorBidi"/>
            <w:noProof/>
            <w:color w:val="auto"/>
            <w:sz w:val="24"/>
            <w:szCs w:val="24"/>
            <w:u w:val="none"/>
          </w:rPr>
          <w:t>Type de problèmes de placement des routeurs.</w:t>
        </w:r>
        <w:r w:rsidR="00200F92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16</w:t>
        </w:r>
      </w:hyperlink>
    </w:p>
    <w:p w:rsidR="00200F92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1957540" w:history="1"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2. 2 : Deux emplacements pour le même WNN avec 5 routeurs et 14 clients.</w:t>
        </w:r>
        <w:r w:rsidR="00200F92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19</w:t>
        </w:r>
      </w:hyperlink>
    </w:p>
    <w:p w:rsidR="00200F92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1957541" w:history="1"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2. 3</w:t>
        </w:r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 </w:t>
        </w:r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:</w:t>
        </w:r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 N</w:t>
        </w:r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ouveau topologie de réseaux.</w:t>
        </w:r>
        <w:r w:rsidR="00200F92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20</w:t>
        </w:r>
      </w:hyperlink>
    </w:p>
    <w:p w:rsidR="00200F92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1957542" w:history="1"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2. 4</w:t>
        </w:r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 </w:t>
        </w:r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: Illustration de la updating de l'emplacement de la particule </w:t>
        </w:r>
        <m:oMath>
          <m:r>
            <w:rPr>
              <w:rStyle w:val="Lienhypertexte"/>
              <w:rFonts w:ascii="Cambria Math" w:hAnsi="Cambria Math" w:cstheme="majorBidi"/>
              <w:noProof/>
              <w:color w:val="auto"/>
              <w:sz w:val="24"/>
              <w:szCs w:val="24"/>
              <w:u w:val="none"/>
            </w:rPr>
            <m:t>k</m:t>
          </m:r>
        </m:oMath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.</w:t>
        </w:r>
        <w:r w:rsidR="00200F92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24</w:t>
        </w:r>
      </w:hyperlink>
    </w:p>
    <w:p w:rsidR="00200F92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1957543" w:history="1">
        <w:r w:rsidR="00200F92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2. 5 : opération de croissement.</w:t>
        </w:r>
        <w:r w:rsidR="00200F92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28</w:t>
        </w:r>
      </w:hyperlink>
    </w:p>
    <w:p w:rsidR="00012D29" w:rsidRPr="00EB5211" w:rsidRDefault="00012D29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r w:rsidRPr="00EB5211">
        <w:rPr>
          <w:rFonts w:asciiTheme="majorBidi" w:hAnsiTheme="majorBidi" w:cstheme="majorBidi"/>
          <w:sz w:val="24"/>
          <w:szCs w:val="24"/>
        </w:rPr>
        <w:fldChar w:fldCharType="begin"/>
      </w:r>
      <w:r w:rsidRPr="00EB5211">
        <w:rPr>
          <w:rFonts w:asciiTheme="majorBidi" w:hAnsiTheme="majorBidi" w:cstheme="majorBidi"/>
          <w:sz w:val="24"/>
          <w:szCs w:val="24"/>
        </w:rPr>
        <w:instrText xml:space="preserve"> TOC \h \z \c "Figure 3." </w:instrText>
      </w:r>
      <w:r w:rsidRPr="00EB5211">
        <w:rPr>
          <w:rFonts w:asciiTheme="majorBidi" w:hAnsiTheme="majorBidi" w:cstheme="majorBidi"/>
          <w:sz w:val="24"/>
          <w:szCs w:val="24"/>
        </w:rPr>
        <w:fldChar w:fldCharType="separate"/>
      </w:r>
      <w:hyperlink w:anchor="_Toc451959004" w:history="1">
        <w:r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1 : Principe général des algorithmes génétiques</w:t>
        </w:r>
        <w:r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33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05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2 : structure de codage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06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3 : Illustration of updating the location of evolution  k.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37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07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4 : Principe de l'opérateur de mutation.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38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r:id="rId4" w:anchor="_Toc451959008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5 : opération de  mutation 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38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09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6 : Structure générale de QEA.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40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10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Figure 3. 7 : représentation des solutions </w:t>
        </w:r>
        <m:oMath>
          <m:r>
            <w:rPr>
              <w:rStyle w:val="Lienhypertexte"/>
              <w:rFonts w:ascii="Cambria Math" w:hAnsi="Cambria Math" w:cstheme="majorBidi"/>
              <w:noProof/>
              <w:color w:val="auto"/>
              <w:sz w:val="24"/>
              <w:szCs w:val="24"/>
              <w:u w:val="none"/>
            </w:rPr>
            <m:t>Q(t)</m:t>
          </m:r>
        </m:oMath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44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11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8 : structure de P(t) dans le modèle proposé.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44</w:t>
        </w:r>
      </w:hyperlink>
    </w:p>
    <w:p w:rsidR="00012D29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hAnsiTheme="majorBidi" w:cstheme="majorBidi"/>
          <w:noProof/>
          <w:sz w:val="24"/>
          <w:szCs w:val="24"/>
        </w:rPr>
      </w:pPr>
      <w:hyperlink w:anchor="_Toc451959012" w:history="1">
        <w:r w:rsidR="00012D29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3. 9 : tracé polaire de la porte de rotation pour les individuels.</w:t>
        </w:r>
        <w:r w:rsidR="00012D29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48</w:t>
        </w:r>
      </w:hyperlink>
    </w:p>
    <w:p w:rsidR="00EB5211" w:rsidRPr="00EB5211" w:rsidRDefault="00012D29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r w:rsidRPr="00EB5211">
        <w:rPr>
          <w:rFonts w:asciiTheme="majorBidi" w:hAnsiTheme="majorBidi" w:cstheme="majorBidi"/>
          <w:sz w:val="24"/>
          <w:szCs w:val="24"/>
        </w:rPr>
        <w:fldChar w:fldCharType="end"/>
      </w:r>
      <w:hyperlink w:anchor="_Toc452044089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4.1: Embarcadero C++ Builder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52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0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4.2 :structure de class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53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1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4.3 : structure de algorithme PSO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55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2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4 :structure de l’Algorithme Génétique  dans l’espace contenue.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60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3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5 :  structure de algorithme génétique dans l’espace discret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62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4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6 : structure de algorithme QEA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68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5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7 : analyse de fitness par nombre particule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6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8 :  analyse de fitness par le nombre de client.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7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 xml:space="preserve">Figure 4. 9 : </w:t>
        </w:r>
        <w:r w:rsidR="00EB5211" w:rsidRPr="00EB5211">
          <w:rPr>
            <w:rStyle w:val="Lienhypertexte"/>
            <w:rFonts w:asciiTheme="majorBidi" w:eastAsiaTheme="majorEastAsia" w:hAnsiTheme="majorBidi" w:cstheme="majorBidi"/>
            <w:noProof/>
            <w:color w:val="auto"/>
            <w:sz w:val="24"/>
            <w:szCs w:val="24"/>
            <w:u w:val="none"/>
          </w:rPr>
          <w:t>Le nombre de couverture de clients par routeur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73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8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10 : analyse de fitness par le nombre de routeur 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73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099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11 : analyse par le nombre de radius.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74</w:t>
        </w:r>
      </w:hyperlink>
    </w:p>
    <w:p w:rsidR="00EB5211" w:rsidRPr="00EB5211" w:rsidRDefault="00EA1A58" w:rsidP="002635CD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0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12 :</w:t>
        </w:r>
        <w:r w:rsidR="002635CD" w:rsidRPr="002635CD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analyse de fitness par le nombre de itération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2635CD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</w:hyperlink>
    </w:p>
    <w:p w:rsidR="00EB5211" w:rsidRPr="00EB5211" w:rsidRDefault="00EA1A58" w:rsidP="002635CD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1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13 :</w:t>
        </w:r>
        <w:r w:rsidR="002635CD" w:rsidRPr="002635CD">
          <w:t xml:space="preserve"> </w:t>
        </w:r>
        <w:r w:rsidR="002635CD" w:rsidRPr="002635CD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diff-nbr-routeurs (GA/PSO)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2635CD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2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14 :graphe de simulation de PSO et GA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77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3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15 : analyse de fitness per le nombre de particules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78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4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16 :la variation entre GN et QEA et QEAA per rapport le nombre de particule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76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5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17 :analyse de fitness par rapport le nombre de client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79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6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18 : la variation entre GN et QEA et QEAA per rapport le nombre de particule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80</w:t>
        </w:r>
      </w:hyperlink>
    </w:p>
    <w:p w:rsidR="00EB5211" w:rsidRPr="00EB5211" w:rsidRDefault="00EA1A58" w:rsidP="00EA1A58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7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19: la variation entre GN et QEA et QEAA per rapport de convecteur client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81</w:t>
        </w:r>
      </w:hyperlink>
    </w:p>
    <w:p w:rsidR="00EB5211" w:rsidRPr="00EB5211" w:rsidRDefault="00EA1A58" w:rsidP="00EA1A58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8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20 : la variation entre GN et QEA et QEAA per rapport couverture de routeur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81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09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21 : analyse de fitness par le nombre de routeur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0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22 : la variation entre GN et QEA et QEAA per rapport le nombre de routeur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82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1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23: anlyse de fitness par le nombre de rayon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83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2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24 :  la variation entre GN et QEA et QEAA per rapport le nombre de rayon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83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3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25:analyse de fitness par le nombre d’emplacement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84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4" w:history="1">
        <w:r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26 :</w:t>
        </w:r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la variation entre GN et QEA et QEAA per rapport le nombre d’emplacement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85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5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27 : analyse de fitness par rapport de itération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85</w:t>
        </w:r>
      </w:hyperlink>
    </w:p>
    <w:p w:rsidR="00EB5211" w:rsidRPr="00EB5211" w:rsidRDefault="00EA1A58" w:rsidP="00914D5B">
      <w:pPr>
        <w:pStyle w:val="Tabledesillustrations"/>
        <w:tabs>
          <w:tab w:val="right" w:leader="dot" w:pos="9061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452044116" w:history="1">
        <w:r w:rsidR="00EB5211" w:rsidRPr="00EB5211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 4. 28 :graphe de simulation de trois algorithme</w:t>
        </w:r>
        <w:r w:rsidR="00EB5211" w:rsidRPr="00EB5211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914D5B">
          <w:rPr>
            <w:rFonts w:asciiTheme="majorBidi" w:hAnsiTheme="majorBidi" w:cstheme="majorBidi"/>
            <w:noProof/>
            <w:webHidden/>
            <w:sz w:val="24"/>
            <w:szCs w:val="24"/>
          </w:rPr>
          <w:t>86</w:t>
        </w:r>
      </w:hyperlink>
    </w:p>
    <w:p w:rsidR="00012D29" w:rsidRPr="00833451" w:rsidRDefault="00012D29" w:rsidP="00012D29">
      <w:pPr>
        <w:spacing w:after="240" w:line="360" w:lineRule="auto"/>
        <w:rPr>
          <w:b/>
          <w:bCs/>
          <w:sz w:val="36"/>
          <w:szCs w:val="36"/>
        </w:rPr>
      </w:pPr>
    </w:p>
    <w:sectPr w:rsidR="00012D29" w:rsidRPr="00833451" w:rsidSect="00833451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51"/>
    <w:rsid w:val="00012D29"/>
    <w:rsid w:val="00200F92"/>
    <w:rsid w:val="002635CD"/>
    <w:rsid w:val="002E7F28"/>
    <w:rsid w:val="00551F5A"/>
    <w:rsid w:val="00833451"/>
    <w:rsid w:val="00914D5B"/>
    <w:rsid w:val="00984D33"/>
    <w:rsid w:val="00C04129"/>
    <w:rsid w:val="00DB13DB"/>
    <w:rsid w:val="00DC3E59"/>
    <w:rsid w:val="00E14305"/>
    <w:rsid w:val="00EA1A58"/>
    <w:rsid w:val="00EB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4BD4E"/>
  <w15:docId w15:val="{614A007A-5184-4C9F-A407-B20E1B69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33451"/>
    <w:rPr>
      <w:color w:val="0000FF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833451"/>
    <w:pPr>
      <w:spacing w:after="0"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ISON%20XP\Desktop\Mimoir\13_CH_03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708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HS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9</cp:revision>
  <cp:lastPrinted>2015-06-28T23:54:00Z</cp:lastPrinted>
  <dcterms:created xsi:type="dcterms:W3CDTF">2015-06-28T22:27:00Z</dcterms:created>
  <dcterms:modified xsi:type="dcterms:W3CDTF">2016-06-08T11:41:00Z</dcterms:modified>
</cp:coreProperties>
</file>